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f2c33041499eca58f25b1dcda1e8a88943d75e"/>
    <w:p>
      <w:pPr>
        <w:pStyle w:val="Heading3"/>
      </w:pPr>
      <w:r>
        <w:t xml:space="preserve">Памятка для иностранных граждан и лиц без гражданства по разъяснению норм законодательства Российской Федерации, устанавливающих ответственность за участие и содействие террористической деятельности</w:t>
      </w:r>
    </w:p>
    <w:p>
      <w:pPr>
        <w:pStyle w:val="FirstParagraph"/>
      </w:pPr>
      <w:r>
        <w:t xml:space="preserve">25.04.2025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http://vnukovo.mos.ru/bezopasnost/antiterror/detail/12935809.html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Внуково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nukovo.mos.ru" TargetMode="External" /><Relationship Type="http://schemas.openxmlformats.org/officeDocument/2006/relationships/hyperlink" Id="rId20" Target="http://vnukovo.mos.ru/bezopasnost/antiterror/detail/129358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nukovo.mos.ru" TargetMode="External" /><Relationship Type="http://schemas.openxmlformats.org/officeDocument/2006/relationships/hyperlink" Id="rId20" Target="http://vnukovo.mos.ru/bezopasnost/antiterror/detail/129358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2025-07-26T12:46:21Z</dcterms:created>
  <dcterms:modified xsi:type="dcterms:W3CDTF">2025-07-26T12:46:21Z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